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/>
      </w:pPr>
      <w:r>
        <w:rPr>
          <w:rStyle w:val="Emphasis"/>
          <w:rFonts w:eastAsia="Times New Roman" w:cs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Opracowanie dokumentacji koncepcyjnej oraz Programu Funkcjonalno-Użytkowego budowy parkingu trzy poziomowego (podziemnego oraz naziemnego) z uwzględnieniem podwójnego przeznaczenia pełniącego funkcję miejsca doraźnego schronienia oraz infrastruktury medycznej.</w:t>
      </w:r>
    </w:p>
    <w:p>
      <w:pPr>
        <w:pStyle w:val="Normal"/>
        <w:spacing w:before="0"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60" w:left="0"/>
        <w:contextualSpacing/>
        <w:outlineLvl w:val="1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Przedmiot zamówienia:</w:t>
      </w:r>
    </w:p>
    <w:p>
      <w:pPr>
        <w:pStyle w:val="Normal"/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Przedmiotem zamówienia jest opracowanie: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Dokumentacji koncepcyjnej budowli  </w:t>
      </w:r>
      <w:r>
        <w:rPr>
          <w:rStyle w:val="Emphasis"/>
          <w:rFonts w:eastAsia="Times New Roman" w:cs="Times New Roman"/>
          <w:i w:val="false"/>
          <w:iCs w:val="false"/>
          <w:color w:val="000000"/>
          <w:sz w:val="24"/>
          <w:szCs w:val="24"/>
          <w:lang w:eastAsia="pl-PL"/>
        </w:rPr>
        <w:t>parkingu trzy poziomowego (podziemnego oraz naziemnego na poziomach minus 1, 0 oraz 1) z uwzględnieniem podwójnego przeznaczenia pełniącego funkcję miejsca doraźnego schronienia oraz infrastruktury medycznej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Programu Funkcjonalno-Użytkowego (PFU) zgodnego z Rozporządzeniem Ministra Rozwoju i Technologii z dnia 20 grudnia 2021 r. (Dz.U. 2021 poz. 2454).</w:t>
      </w:r>
    </w:p>
    <w:p>
      <w:pPr>
        <w:pStyle w:val="Normal"/>
        <w:spacing w:lineRule="auto" w:line="240" w:before="0" w:after="0"/>
        <w:ind w:left="720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60" w:left="0"/>
        <w:contextualSpacing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Zakres zamówienia obejmuje m.in.:</w:t>
      </w:r>
    </w:p>
    <w:p>
      <w:pPr>
        <w:pStyle w:val="ListParagraph"/>
        <w:spacing w:lineRule="auto" w:line="240" w:before="0" w:after="0"/>
        <w:ind w:left="0"/>
        <w:contextualSpacing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Przedstawienie min. 2 wariantów budowy parkingu</w:t>
      </w:r>
      <w:r>
        <w:rPr>
          <w:rStyle w:val="Emphasis"/>
          <w:rFonts w:eastAsia="Times New Roman" w:cs="Times New Roman"/>
          <w:i w:val="false"/>
          <w:iCs w:val="false"/>
          <w:color w:val="000000"/>
          <w:sz w:val="24"/>
          <w:szCs w:val="24"/>
          <w:lang w:eastAsia="pl-PL"/>
        </w:rPr>
        <w:t xml:space="preserve"> trzy poziomowego (podziemnego oraz naziemnego na poziomach minus 1, 0 oraz 1) z uwzględnieniem podwójnego przeznaczenia, w którego skład wchodzą: 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Miejsce doraźnego schronienia pacjentów oraz personelu</w:t>
      </w:r>
      <w:r>
        <w:rPr>
          <w:rFonts w:eastAsia="Times New Roman" w:cs="Times New Roman"/>
          <w:color w:val="FF0000"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sz w:val="24"/>
          <w:szCs w:val="24"/>
          <w:lang w:eastAsia="pl-PL"/>
        </w:rPr>
        <w:t>w warunkach zagrożenia (np. skażenie, atak zbrojny) na poziomie minus 1 parkingu (po wyjeździe samochodów z tego poziomu);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Magazyn wyrobów medycznych z kontrolą temperatury i wilgotności;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Magazyn środków ochrony indywidualnej;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Magazyn banku krwi, a w tym: </w:t>
      </w:r>
    </w:p>
    <w:p>
      <w:pPr>
        <w:pStyle w:val="Normal"/>
        <w:spacing w:lineRule="auto" w:line="240" w:before="0" w:after="0"/>
        <w:ind w:left="72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- Chłodnia przeznaczona na magazynowanie min. 100 jednostek krwi pełnej (wymagana temperatura 2 – 6</w:t>
      </w:r>
      <w:r>
        <w:rPr>
          <w:rFonts w:eastAsia="Times New Roman" w:cs="Times New Roman"/>
          <w:sz w:val="24"/>
          <w:szCs w:val="24"/>
          <w:vertAlign w:val="superscript"/>
          <w:lang w:eastAsia="pl-PL"/>
        </w:rPr>
        <w:t>o</w:t>
      </w:r>
      <w:r>
        <w:rPr>
          <w:rFonts w:eastAsia="Times New Roman" w:cs="Times New Roman"/>
          <w:sz w:val="24"/>
          <w:szCs w:val="24"/>
          <w:lang w:eastAsia="pl-PL"/>
        </w:rPr>
        <w:t>C),</w:t>
      </w:r>
    </w:p>
    <w:p>
      <w:pPr>
        <w:pStyle w:val="Normal"/>
        <w:spacing w:lineRule="auto" w:line="240" w:before="0" w:after="0"/>
        <w:ind w:left="72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- Mroźnia przeznaczona na magazynowanie min. 80 jednostek osocza mrożonego (wymagana temperatura -30</w:t>
      </w:r>
      <w:r>
        <w:rPr>
          <w:rFonts w:eastAsia="Times New Roman" w:cs="Times New Roman"/>
          <w:sz w:val="24"/>
          <w:szCs w:val="24"/>
          <w:vertAlign w:val="superscript"/>
          <w:lang w:eastAsia="pl-PL"/>
        </w:rPr>
        <w:t>o</w:t>
      </w:r>
      <w:r>
        <w:rPr>
          <w:rFonts w:eastAsia="Times New Roman" w:cs="Times New Roman"/>
          <w:sz w:val="24"/>
          <w:szCs w:val="24"/>
          <w:lang w:eastAsia="pl-PL"/>
        </w:rPr>
        <w:t>C),</w:t>
      </w:r>
    </w:p>
    <w:p>
      <w:pPr>
        <w:pStyle w:val="Normal"/>
        <w:spacing w:lineRule="auto" w:line="240" w:before="0" w:after="0"/>
        <w:ind w:left="72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- Szafa przeznaczona do przechowywania płytek krwi (temperatura pokojowa);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eastAsia="Times New Roman" w:cs="Calibri"/>
          <w:sz w:val="24"/>
          <w:szCs w:val="24"/>
          <w:lang w:eastAsia="pl-PL"/>
        </w:rPr>
        <w:t>Połączenie schronienia z istniejącym budynkiem szpitala (drogi komunikacyjne, ewakuacja, winda, wentylacja, wyposażenie p.poż.)</w:t>
      </w:r>
      <w:r>
        <w:rPr>
          <w:rFonts w:eastAsia="Times New Roman" w:cs="Times New Roman"/>
          <w:sz w:val="24"/>
          <w:szCs w:val="24"/>
          <w:lang w:eastAsia="pl-PL"/>
        </w:rPr>
        <w:t>;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Instalacje elektryczne wraz z niezależnym awaryjnym zasilaniem oraz instalacje sanitarne; 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Oznakowanie zgodne z międzynarodowym znakiem obrony cywilnej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Niezbędne wyposażenie - wyposażenie medyczne i meblowe dostosowane do funkcji magazynów.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outlineLvl w:val="1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outlineLvl w:val="1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Zakres opracowania:</w:t>
      </w:r>
    </w:p>
    <w:p>
      <w:pPr>
        <w:pStyle w:val="Normal"/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Wykonawca zobowiązany jest do: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Przeprowadzenia wizji lokalnej na terenie WSS5 i przedstawienia min. 2 wariantów  budowli (proponowana przez Zamawiającego lokalizacja: teren na zachód od budynku F).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Opracowania koncepcji architektoniczno-budowlanej dla każdego wariantu.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Sporządzenia PFU zgodnie z obowiązującymi przepisami prawa, w tym:</w:t>
      </w:r>
    </w:p>
    <w:p>
      <w:pPr>
        <w:pStyle w:val="Normal"/>
        <w:numPr>
          <w:ilvl w:val="1"/>
          <w:numId w:val="6"/>
        </w:numPr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Prawem budowlanym,</w:t>
      </w:r>
    </w:p>
    <w:p>
      <w:pPr>
        <w:pStyle w:val="Normal"/>
        <w:numPr>
          <w:ilvl w:val="1"/>
          <w:numId w:val="6"/>
        </w:numPr>
        <w:spacing w:lineRule="auto" w:line="240" w:before="0" w:after="0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Programem Ochrony Ludności i Obrony Cywilnej (2025–2026).</w:t>
      </w:r>
    </w:p>
    <w:p>
      <w:pPr>
        <w:pStyle w:val="Normal"/>
        <w:spacing w:lineRule="auto" w:line="240" w:before="0" w:after="0"/>
        <w:ind w:hanging="426" w:left="1418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>-      Warunki techniczne miejsca doraźnego schronienia powinny zapewnić w szczególności odpowiednią wytrzymałość, rozwiązania z zakresu bezpieczeństwa pożarowego, wentylację, rozwiązania ewakuacyjne, zaopatrzenie w energię i wodę, odprowadzanie ścieków i rozwiązania służące przetrwaniu osób znajdujących się w budowli ochronnej.</w:t>
      </w:r>
    </w:p>
    <w:p>
      <w:pPr>
        <w:pStyle w:val="Normal"/>
        <w:numPr>
          <w:ilvl w:val="1"/>
          <w:numId w:val="6"/>
        </w:numPr>
        <w:spacing w:lineRule="auto" w:line="240" w:before="0" w:after="0"/>
        <w:rPr>
          <w:color w:val="000000"/>
        </w:rPr>
      </w:pPr>
      <w:r>
        <w:rPr>
          <w:color w:val="000000"/>
          <w:sz w:val="24"/>
          <w:szCs w:val="24"/>
        </w:rPr>
        <w:t xml:space="preserve">Rozporządzeniem Ministra Spraw Wewnętrznych i administracji z dnia 21 lutego 2025 r. w sprawie kryteriów uznawania obiektów budowlanych albo ich części za budowle ochronne oraz 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>Wytycznymi MSWiA dotyczącymi obiektów ochronnych,</w:t>
      </w:r>
    </w:p>
    <w:p>
      <w:pPr>
        <w:pStyle w:val="Normal"/>
        <w:numPr>
          <w:ilvl w:val="1"/>
          <w:numId w:val="6"/>
        </w:numPr>
        <w:spacing w:lineRule="auto" w:line="240" w:before="0" w:after="0"/>
        <w:rPr>
          <w:color w:val="000000"/>
        </w:rPr>
      </w:pPr>
      <w:r>
        <w:rPr>
          <w:color w:val="000000"/>
          <w:sz w:val="24"/>
          <w:szCs w:val="24"/>
        </w:rPr>
        <w:t>Rozporządzeniem Rady Ministrów z dnia 31 lipca 2025 r. w sprawie szczegółowych warunków wyznaczania budynków użyteczności publicznej, w których zapewnia się budowle ochronne,</w:t>
      </w:r>
    </w:p>
    <w:p>
      <w:pPr>
        <w:pStyle w:val="Normal"/>
        <w:numPr>
          <w:ilvl w:val="1"/>
          <w:numId w:val="6"/>
        </w:numPr>
        <w:spacing w:lineRule="auto" w:line="240" w:before="0" w:after="0"/>
        <w:rPr>
          <w:color w:val="000000"/>
        </w:rPr>
      </w:pPr>
      <w:r>
        <w:rPr>
          <w:color w:val="000000"/>
          <w:sz w:val="24"/>
          <w:szCs w:val="24"/>
        </w:rPr>
        <w:t>Rozporządzeniem Ministra Spraw Wewnętrznych i Administracji z dnia 1 lipca 2025 r. w sprawie sposobu przygotowania obiektu zbiorowej ochrony do użycia, szczegółowych warunków eksploatacji budowli ochronnych, zapewnienia porządku w ich obrębie oraz ich niezbędnego wyposażenia,</w:t>
      </w:r>
    </w:p>
    <w:p>
      <w:pPr>
        <w:pStyle w:val="Normal"/>
        <w:numPr>
          <w:ilvl w:val="1"/>
          <w:numId w:val="6"/>
        </w:numPr>
        <w:spacing w:lineRule="auto" w:line="240" w:before="0" w:after="0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Przepisami sanitarnymi i pożarowymi. </w:t>
      </w:r>
    </w:p>
    <w:p>
      <w:pPr>
        <w:pStyle w:val="ListParagraph"/>
        <w:spacing w:lineRule="auto" w:line="240" w:before="0" w:after="0"/>
        <w:contextualSpacing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outlineLvl w:val="1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outlineLvl w:val="1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Wymagania dodatkowe: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hanging="360" w:left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Dokumentacja musi uwzględniać możliwość rozbudowy lub adaptacji istniejących struktur szpitalnych.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hanging="360" w:left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Wykonawca powinien zapewnić koordynację międzybranżową (architektura, konstrukcja, instalacje).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hanging="360" w:left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Wymagana jest zgodność z zasadami projektowania uniwersalnego (dostępność dla osób z niepełnosprawnościami).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hanging="360" w:left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Wykonawca przedstawi harmonogram prac oraz kosztorys szacunkowy.</w:t>
      </w:r>
    </w:p>
    <w:p>
      <w:pPr>
        <w:pStyle w:val="Normal"/>
        <w:spacing w:before="0" w:after="16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2">
    <w:name w:val="Heading 2"/>
    <w:basedOn w:val="Normal"/>
    <w:link w:val="Nagwek2Znak"/>
    <w:uiPriority w:val="9"/>
    <w:qFormat/>
    <w:rsid w:val="006371cd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uiPriority w:val="9"/>
    <w:qFormat/>
    <w:rsid w:val="006371cd"/>
    <w:rPr>
      <w:rFonts w:ascii="Times New Roman" w:hAnsi="Times New Roman" w:eastAsia="Times New Roman" w:cs="Times New Roman"/>
      <w:b/>
      <w:bCs/>
      <w:sz w:val="36"/>
      <w:szCs w:val="36"/>
      <w:lang w:eastAsia="pl-PL"/>
    </w:rPr>
  </w:style>
  <w:style w:type="character" w:styleId="Strong">
    <w:name w:val="Strong"/>
    <w:basedOn w:val="DefaultParagraphFont"/>
    <w:uiPriority w:val="22"/>
    <w:qFormat/>
    <w:rsid w:val="006371cd"/>
    <w:rPr>
      <w:b/>
      <w:bCs/>
    </w:rPr>
  </w:style>
  <w:style w:type="character" w:styleId="Mx-05" w:customStyle="1">
    <w:name w:val="mx-0.5"/>
    <w:basedOn w:val="DefaultParagraphFont"/>
    <w:qFormat/>
    <w:rsid w:val="006371cd"/>
    <w:rPr/>
  </w:style>
  <w:style w:type="character" w:styleId="Emphasis">
    <w:name w:val="Emphasis"/>
    <w:qFormat/>
    <w:rPr>
      <w:i/>
      <w:i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qFormat/>
    <w:rsid w:val="006371c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6371cd"/>
    <w:pPr>
      <w:spacing w:before="0" w:after="16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LibreOffice/24.2.3.2$Windows_X86_64 LibreOffice_project/433d9c2ded56988e8a90e6b2e771ee4e6a5ab2ba</Application>
  <AppVersion>15.0000</AppVersion>
  <Pages>2</Pages>
  <Words>476</Words>
  <Characters>3365</Characters>
  <CharactersWithSpaces>3792</CharactersWithSpaces>
  <Paragraphs>36</Paragraphs>
  <Company>Messer Group GmbH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2025-08-08T09:27:00Z</dcterms:created>
  <dc:creator>Marta Kwiatkowska</dc:creator>
  <dc:description/>
  <dc:language>pl-PL</dc:language>
  <cp:lastModifiedBy/>
  <dcterms:modified xsi:type="dcterms:W3CDTF">2025-08-12T12:46:43Z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